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44515" w14:textId="77777777" w:rsidR="00E91A7E" w:rsidRDefault="00E91A7E">
      <w:pPr>
        <w:pStyle w:val="EinfAbs"/>
        <w:rPr>
          <w:rFonts w:ascii="Lidl Font Pro" w:eastAsia="Lidl Font Pro" w:hAnsi="Lidl Font Pro" w:cs="Lidl Font Pro"/>
          <w:sz w:val="22"/>
          <w:szCs w:val="22"/>
          <w:lang w:val="en-US"/>
        </w:rPr>
      </w:pPr>
    </w:p>
    <w:p w14:paraId="236AE95C" w14:textId="77777777" w:rsidR="00E91A7E" w:rsidRPr="00ED45A2" w:rsidRDefault="00ED45A2">
      <w:pPr>
        <w:pStyle w:val="EinfAbs"/>
        <w:jc w:val="right"/>
        <w:rPr>
          <w:rFonts w:ascii="Lidl Font Pro" w:eastAsia="Lidl Font Pro" w:hAnsi="Lidl Font Pro" w:cs="Lidl Font Pro"/>
          <w:sz w:val="22"/>
          <w:szCs w:val="22"/>
          <w:lang w:val="en-US"/>
        </w:rPr>
      </w:pPr>
      <w:proofErr w:type="spellStart"/>
      <w:r>
        <w:rPr>
          <w:rFonts w:ascii="Lidl Font Pro" w:eastAsia="Lidl Font Pro" w:hAnsi="Lidl Font Pro" w:cs="Lidl Font Pro"/>
          <w:sz w:val="22"/>
          <w:szCs w:val="22"/>
          <w:lang w:val="en-US"/>
        </w:rPr>
        <w:t>Larnaca</w:t>
      </w:r>
      <w:proofErr w:type="spellEnd"/>
      <w:r>
        <w:rPr>
          <w:rFonts w:ascii="Lidl Font Pro" w:eastAsia="Lidl Font Pro" w:hAnsi="Lidl Font Pro" w:cs="Lidl Font Pro"/>
          <w:sz w:val="22"/>
          <w:szCs w:val="22"/>
          <w:lang w:val="en-US"/>
        </w:rPr>
        <w:t xml:space="preserve">, </w:t>
      </w:r>
      <w:bookmarkStart w:id="0" w:name="_Hlk13575460"/>
      <w:r>
        <w:rPr>
          <w:rFonts w:ascii="Lidl Font Pro" w:eastAsia="Lidl Font Pro" w:hAnsi="Lidl Font Pro" w:cs="Lidl Font Pro"/>
          <w:sz w:val="22"/>
          <w:szCs w:val="22"/>
          <w:lang w:val="en-US"/>
        </w:rPr>
        <w:t>1</w:t>
      </w:r>
      <w:bookmarkEnd w:id="0"/>
      <w:r>
        <w:rPr>
          <w:rFonts w:ascii="Lidl Font Pro" w:eastAsia="Lidl Font Pro" w:hAnsi="Lidl Font Pro" w:cs="Lidl Font Pro"/>
          <w:sz w:val="22"/>
          <w:szCs w:val="22"/>
          <w:lang w:val="en-US"/>
        </w:rPr>
        <w:t>9</w:t>
      </w:r>
      <w:bookmarkStart w:id="1" w:name="_Hlk55291287"/>
      <w:r>
        <w:rPr>
          <w:rFonts w:ascii="Lidl Font Pro" w:eastAsia="Lidl Font Pro" w:hAnsi="Lidl Font Pro" w:cs="Lidl Font Pro"/>
          <w:sz w:val="22"/>
          <w:szCs w:val="22"/>
          <w:lang w:val="en-US"/>
        </w:rPr>
        <w:t>/01/2026</w:t>
      </w:r>
    </w:p>
    <w:bookmarkEnd w:id="1"/>
    <w:p w14:paraId="578720C6" w14:textId="7B801A7D" w:rsidR="00E91A7E" w:rsidRDefault="00ED45A2">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w:t>
      </w:r>
      <w:r w:rsidRPr="00ED45A2">
        <w:rPr>
          <w:rFonts w:ascii="Lidl Font Pro" w:eastAsia="Lidl Font Pro" w:hAnsi="Lidl Font Pro" w:cs="Lidl Font Pro"/>
          <w:b/>
          <w:bCs/>
          <w:color w:val="1F497D"/>
          <w:sz w:val="36"/>
          <w:szCs w:val="36"/>
          <w:u w:color="1F497D"/>
          <w:lang w:val="en-US"/>
        </w:rPr>
        <w:t xml:space="preserve"> </w:t>
      </w:r>
      <w:r w:rsidRPr="00ED45A2">
        <w:rPr>
          <w:rFonts w:ascii="Lidl Font Pro" w:eastAsia="Lidl Font Pro" w:hAnsi="Lidl Font Pro" w:cs="Lidl Font Pro"/>
          <w:b/>
          <w:bCs/>
          <w:color w:val="1F497D"/>
          <w:sz w:val="36"/>
          <w:szCs w:val="36"/>
          <w:u w:color="1F497D"/>
          <w:lang w:val="en-US"/>
        </w:rPr>
        <w:t>Cyprus strengthens its long-standing social contribution: A new film highlights its support initiatives in health, children, and vulnerable groups</w:t>
      </w:r>
    </w:p>
    <w:p w14:paraId="7601282A" w14:textId="77777777" w:rsidR="00E91A7E" w:rsidRDefault="00ED45A2">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Through moving images and words, the company presents its new televised film, highlighting all the actions it consistently implements to support and strengthen society.</w:t>
      </w:r>
    </w:p>
    <w:p w14:paraId="256EC41A" w14:textId="77777777" w:rsidR="00E91A7E" w:rsidRDefault="00ED45A2">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Lidl </w:t>
      </w:r>
      <w:r>
        <w:rPr>
          <w:rFonts w:ascii="Lidl Font Pro" w:eastAsia="Lidl Font Pro" w:hAnsi="Lidl Font Pro" w:cs="Lidl Font Pro"/>
          <w:lang w:val="en-US"/>
        </w:rPr>
        <w:t xml:space="preserve">Cyprus has long invested in initiatives with a significant social impact, supporting healthcare structures, children and vulnerable groups, with the aim of creating real value for society. This commitment is also reflected in the televised film that the company created for its social actions, in which the beloved actor and screenwriter George </w:t>
      </w:r>
      <w:proofErr w:type="spellStart"/>
      <w:r>
        <w:rPr>
          <w:rFonts w:ascii="Lidl Font Pro" w:eastAsia="Lidl Font Pro" w:hAnsi="Lidl Font Pro" w:cs="Lidl Font Pro"/>
          <w:lang w:val="en-US"/>
        </w:rPr>
        <w:t>Kapoutzidis</w:t>
      </w:r>
      <w:proofErr w:type="spellEnd"/>
      <w:r>
        <w:rPr>
          <w:rFonts w:ascii="Lidl Font Pro" w:eastAsia="Lidl Font Pro" w:hAnsi="Lidl Font Pro" w:cs="Lidl Font Pro"/>
          <w:lang w:val="en-US"/>
        </w:rPr>
        <w:t xml:space="preserve"> lends his voice, lending even greater power and emotion to the message of the offer.</w:t>
      </w:r>
    </w:p>
    <w:p w14:paraId="2565E234" w14:textId="77777777" w:rsidR="00E91A7E" w:rsidRDefault="00ED45A2">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b/>
          <w:bCs/>
          <w:lang w:val="en-US"/>
        </w:rPr>
        <w:t>Support for health and palliative care structures</w:t>
      </w:r>
    </w:p>
    <w:p w14:paraId="50A3A6AD" w14:textId="77777777" w:rsidR="00E91A7E" w:rsidRDefault="00ED45A2">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Since 2013, Lidl Cyprus has been collaborating with the Cyprus Anti-Cancer Society, actively supporting the “</w:t>
      </w:r>
      <w:proofErr w:type="spellStart"/>
      <w:r>
        <w:rPr>
          <w:rFonts w:ascii="Lidl Font Pro" w:eastAsia="Lidl Font Pro" w:hAnsi="Lidl Font Pro" w:cs="Lidl Font Pro"/>
          <w:lang w:val="en-US"/>
        </w:rPr>
        <w:t>Arodafnoussa</w:t>
      </w:r>
      <w:proofErr w:type="spellEnd"/>
      <w:r>
        <w:rPr>
          <w:rFonts w:ascii="Lidl Font Pro" w:eastAsia="Lidl Font Pro" w:hAnsi="Lidl Font Pro" w:cs="Lidl Font Pro"/>
          <w:lang w:val="en-US"/>
        </w:rPr>
        <w:t xml:space="preserve">” Palliative Care Centre. The collaboration includes full coverage of the Centre’s food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support for the operating expenses of the patient accommodation rooms, the creation of rest areas for visitors, as well as the sponsorship of charitable events. Lidl Cyprus’ total contribution amounts to 1.1 million euros in monetary donations and products, while an additional 250,000 euros which have been raised for the Society through sponsored events.</w:t>
      </w:r>
    </w:p>
    <w:p w14:paraId="313E271F" w14:textId="77777777" w:rsidR="00E91A7E" w:rsidRDefault="00ED45A2">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b/>
          <w:bCs/>
          <w:lang w:val="en-US"/>
        </w:rPr>
        <w:t>Humanitarian support and crisis management</w:t>
      </w:r>
    </w:p>
    <w:p w14:paraId="386F95CC" w14:textId="77777777" w:rsidR="00E91A7E" w:rsidRDefault="00ED45A2">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collaboration with the Cyprus Red Cross, which also began in 2013, focuses on providing direct humanitarian assistance in cases of emergency and supporting vulnerable groups. The actions include crisis management </w:t>
      </w:r>
      <w:proofErr w:type="spellStart"/>
      <w:r>
        <w:rPr>
          <w:rFonts w:ascii="Lidl Font Pro" w:eastAsia="Lidl Font Pro" w:hAnsi="Lidl Font Pro" w:cs="Lidl Font Pro"/>
          <w:lang w:val="en-US"/>
        </w:rPr>
        <w:t>programmes</w:t>
      </w:r>
      <w:proofErr w:type="spellEnd"/>
      <w:r>
        <w:rPr>
          <w:rFonts w:ascii="Lidl Font Pro" w:eastAsia="Lidl Font Pro" w:hAnsi="Lidl Font Pro" w:cs="Lidl Font Pro"/>
          <w:lang w:val="en-US"/>
        </w:rPr>
        <w:t xml:space="preserve">, meeting nutritional needs at youth camps nationwide, the creation of a playground at the “Stella </w:t>
      </w:r>
      <w:proofErr w:type="spellStart"/>
      <w:r>
        <w:rPr>
          <w:rFonts w:ascii="Lidl Font Pro" w:eastAsia="Lidl Font Pro" w:hAnsi="Lidl Font Pro" w:cs="Lidl Font Pro"/>
          <w:lang w:val="en-US"/>
        </w:rPr>
        <w:t>Souliotis</w:t>
      </w:r>
      <w:proofErr w:type="spellEnd"/>
      <w:r>
        <w:rPr>
          <w:rFonts w:ascii="Lidl Font Pro" w:eastAsia="Lidl Font Pro" w:hAnsi="Lidl Font Pro" w:cs="Lidl Font Pro"/>
          <w:lang w:val="en-US"/>
        </w:rPr>
        <w:t xml:space="preserve">” Children’s Therapeutic Center and the support of First Aid teams. Lidl Cyprus’ total contribution to the </w:t>
      </w:r>
      <w:proofErr w:type="spellStart"/>
      <w:r>
        <w:rPr>
          <w:rFonts w:ascii="Lidl Font Pro" w:eastAsia="Lidl Font Pro" w:hAnsi="Lidl Font Pro" w:cs="Lidl Font Pro"/>
          <w:lang w:val="en-US"/>
        </w:rPr>
        <w:t>organisation</w:t>
      </w:r>
      <w:proofErr w:type="spellEnd"/>
      <w:r>
        <w:rPr>
          <w:rFonts w:ascii="Lidl Font Pro" w:eastAsia="Lidl Font Pro" w:hAnsi="Lidl Font Pro" w:cs="Lidl Font Pro"/>
          <w:lang w:val="en-US"/>
        </w:rPr>
        <w:t xml:space="preserve"> amounts to 350,000 euros, while more than 5,000 </w:t>
      </w:r>
      <w:r>
        <w:rPr>
          <w:rFonts w:ascii="Lidl Font Pro" w:eastAsia="Lidl Font Pro" w:hAnsi="Lidl Font Pro" w:cs="Lidl Font Pro"/>
          <w:lang w:val="en-US"/>
        </w:rPr>
        <w:lastRenderedPageBreak/>
        <w:t>individuals and families have received support, with 1,500 people being supported in emergency situations.</w:t>
      </w:r>
    </w:p>
    <w:p w14:paraId="2BD27C2B" w14:textId="77777777" w:rsidR="00E91A7E" w:rsidRDefault="00ED45A2">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b/>
          <w:bCs/>
          <w:lang w:val="en-US"/>
        </w:rPr>
        <w:t>Child protection and social inclusion</w:t>
      </w:r>
    </w:p>
    <w:p w14:paraId="44F234EB" w14:textId="77777777" w:rsidR="00E91A7E" w:rsidRDefault="00ED45A2">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Since 2024, Lidl Cyprus has been collaborating with the Hope for Children </w:t>
      </w:r>
      <w:proofErr w:type="spellStart"/>
      <w:r>
        <w:rPr>
          <w:rFonts w:ascii="Lidl Font Pro" w:eastAsia="Lidl Font Pro" w:hAnsi="Lidl Font Pro" w:cs="Lidl Font Pro"/>
          <w:lang w:val="en-US"/>
        </w:rPr>
        <w:t>organisation</w:t>
      </w:r>
      <w:proofErr w:type="spellEnd"/>
      <w:r>
        <w:rPr>
          <w:rFonts w:ascii="Lidl Font Pro" w:eastAsia="Lidl Font Pro" w:hAnsi="Lidl Font Pro" w:cs="Lidl Font Pro"/>
          <w:lang w:val="en-US"/>
        </w:rPr>
        <w:t xml:space="preserve"> with the aim of promoting child protection, inclusion and psychosocial support for children and families. The collaboration includes educational </w:t>
      </w:r>
      <w:proofErr w:type="spellStart"/>
      <w:r>
        <w:rPr>
          <w:rFonts w:ascii="Lidl Font Pro" w:eastAsia="Lidl Font Pro" w:hAnsi="Lidl Font Pro" w:cs="Lidl Font Pro"/>
          <w:lang w:val="en-US"/>
        </w:rPr>
        <w:t>programmes</w:t>
      </w:r>
      <w:proofErr w:type="spellEnd"/>
      <w:r>
        <w:rPr>
          <w:rFonts w:ascii="Lidl Font Pro" w:eastAsia="Lidl Font Pro" w:hAnsi="Lidl Font Pro" w:cs="Lidl Font Pro"/>
          <w:lang w:val="en-US"/>
        </w:rPr>
        <w:t xml:space="preserve"> in schools, support for the Hope for Children Podcast and the promotion of the 1466 helpline, which operates free of charge, 24 hours a day. To date, 2,300 students have participated in educational activities, 100,000 citizens have participated in open events and 181 calls have been recorded on the 1466 line, with a total support of 60,000 e</w:t>
      </w:r>
      <w:r>
        <w:rPr>
          <w:rFonts w:ascii="Lidl Font Pro" w:eastAsia="Lidl Font Pro" w:hAnsi="Lidl Font Pro" w:cs="Lidl Font Pro"/>
          <w:lang w:val="en-US"/>
        </w:rPr>
        <w:t>uros.</w:t>
      </w:r>
    </w:p>
    <w:p w14:paraId="1AE4F729" w14:textId="77777777" w:rsidR="00E91A7E" w:rsidRDefault="00ED45A2">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With consistency, long-term partnerships and measurable impact, Lidl Cyprus ensures that goodness finds its way and returns to where it really </w:t>
      </w:r>
      <w:proofErr w:type="gramStart"/>
      <w:r>
        <w:rPr>
          <w:rFonts w:ascii="Lidl Font Pro" w:eastAsia="Lidl Font Pro" w:hAnsi="Lidl Font Pro" w:cs="Lidl Font Pro"/>
          <w:lang w:val="en-US"/>
        </w:rPr>
        <w:t>matters:</w:t>
      </w:r>
      <w:proofErr w:type="gramEnd"/>
      <w:r>
        <w:rPr>
          <w:rFonts w:ascii="Lidl Font Pro" w:eastAsia="Lidl Font Pro" w:hAnsi="Lidl Font Pro" w:cs="Lidl Font Pro"/>
          <w:lang w:val="en-US"/>
        </w:rPr>
        <w:t xml:space="preserve"> to society itself.</w:t>
      </w:r>
    </w:p>
    <w:p w14:paraId="5CEAA6ED" w14:textId="705527EF" w:rsidR="00E91A7E" w:rsidRDefault="00ED45A2">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Enjoy the film </w:t>
      </w:r>
      <w:hyperlink r:id="rId6" w:history="1">
        <w:r w:rsidRPr="00ED45A2">
          <w:rPr>
            <w:rStyle w:val="-"/>
            <w:rFonts w:ascii="Lidl Font Pro" w:eastAsia="Lidl Font Pro" w:hAnsi="Lidl Font Pro" w:cs="Lidl Font Pro"/>
            <w:lang w:val="en-US"/>
          </w:rPr>
          <w:t>here</w:t>
        </w:r>
      </w:hyperlink>
      <w:r>
        <w:rPr>
          <w:rFonts w:ascii="Lidl Font Pro" w:eastAsia="Lidl Font Pro" w:hAnsi="Lidl Font Pro" w:cs="Lidl Font Pro"/>
          <w:lang w:val="en-US"/>
        </w:rPr>
        <w:t>.</w:t>
      </w:r>
    </w:p>
    <w:p w14:paraId="3112B36E" w14:textId="77777777" w:rsidR="00E91A7E" w:rsidRDefault="00E91A7E">
      <w:pPr>
        <w:spacing w:after="0"/>
        <w:jc w:val="both"/>
        <w:rPr>
          <w:rFonts w:ascii="Lidl Font Pro" w:eastAsia="Lidl Font Pro" w:hAnsi="Lidl Font Pro" w:cs="Lidl Font Pro"/>
          <w:b/>
          <w:bCs/>
          <w:color w:val="1F497D"/>
          <w:u w:color="1F497D"/>
          <w:lang w:val="en-US"/>
        </w:rPr>
      </w:pPr>
    </w:p>
    <w:p w14:paraId="357A5AED" w14:textId="77777777" w:rsidR="00E91A7E" w:rsidRDefault="00E91A7E">
      <w:pPr>
        <w:spacing w:after="0"/>
        <w:jc w:val="both"/>
        <w:rPr>
          <w:rFonts w:ascii="Lidl Font Pro" w:eastAsia="Lidl Font Pro" w:hAnsi="Lidl Font Pro" w:cs="Lidl Font Pro"/>
          <w:b/>
          <w:bCs/>
          <w:color w:val="1F497D"/>
          <w:u w:color="1F497D"/>
          <w:lang w:val="en-US"/>
        </w:rPr>
      </w:pPr>
    </w:p>
    <w:p w14:paraId="31FF1961" w14:textId="77777777" w:rsidR="00E91A7E" w:rsidRDefault="00ED45A2">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227D6B91" w14:textId="77777777" w:rsidR="00E91A7E" w:rsidRDefault="00ED45A2">
      <w:pPr>
        <w:spacing w:after="0"/>
        <w:jc w:val="both"/>
        <w:rPr>
          <w:rStyle w:val="Hyperlink0"/>
        </w:rPr>
      </w:pPr>
      <w:hyperlink r:id="rId7" w:history="1">
        <w:r>
          <w:rPr>
            <w:rStyle w:val="Hyperlink0"/>
          </w:rPr>
          <w:t>corporate.lidl.com.cy</w:t>
        </w:r>
      </w:hyperlink>
      <w:r>
        <w:rPr>
          <w:rStyle w:val="Hyperlink0"/>
        </w:rPr>
        <w:t xml:space="preserve"> </w:t>
      </w:r>
    </w:p>
    <w:p w14:paraId="40945E89" w14:textId="77777777" w:rsidR="00E91A7E" w:rsidRDefault="00ED45A2">
      <w:pPr>
        <w:spacing w:after="0"/>
        <w:jc w:val="both"/>
        <w:rPr>
          <w:rStyle w:val="Hyperlink0"/>
        </w:rPr>
      </w:pPr>
      <w:r>
        <w:rPr>
          <w:rStyle w:val="Hyperlink0"/>
        </w:rPr>
        <w:t>team.lidl.com.cy</w:t>
      </w:r>
    </w:p>
    <w:p w14:paraId="16FB84D7" w14:textId="77777777" w:rsidR="00E91A7E" w:rsidRDefault="00ED45A2">
      <w:pPr>
        <w:spacing w:after="0"/>
        <w:jc w:val="both"/>
        <w:rPr>
          <w:rStyle w:val="Hyperlink0"/>
        </w:rPr>
      </w:pPr>
      <w:hyperlink r:id="rId8" w:history="1">
        <w:r>
          <w:rPr>
            <w:rStyle w:val="Hyperlink0"/>
          </w:rPr>
          <w:t>lidlfoodacademy.com.cy</w:t>
        </w:r>
      </w:hyperlink>
    </w:p>
    <w:p w14:paraId="4A23E221" w14:textId="77777777" w:rsidR="00E91A7E" w:rsidRDefault="00ED45A2">
      <w:pPr>
        <w:spacing w:after="0"/>
        <w:jc w:val="both"/>
        <w:rPr>
          <w:rStyle w:val="Hyperlink0"/>
        </w:rPr>
      </w:pPr>
      <w:hyperlink r:id="rId9"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5DA6E467" w14:textId="77777777" w:rsidR="00E91A7E" w:rsidRDefault="00ED45A2">
      <w:pPr>
        <w:spacing w:after="0"/>
        <w:jc w:val="both"/>
        <w:rPr>
          <w:rStyle w:val="Hyperlink0"/>
        </w:rPr>
      </w:pPr>
      <w:hyperlink r:id="rId10"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66952A25" w14:textId="77777777" w:rsidR="00E91A7E" w:rsidRDefault="00ED45A2">
      <w:pPr>
        <w:spacing w:after="0"/>
        <w:jc w:val="both"/>
        <w:rPr>
          <w:rStyle w:val="Hyperlink0"/>
        </w:rPr>
      </w:pPr>
      <w:r>
        <w:rPr>
          <w:rStyle w:val="Hyperlink0"/>
        </w:rPr>
        <w:t>youtube.com/</w:t>
      </w:r>
      <w:proofErr w:type="spellStart"/>
      <w:r>
        <w:rPr>
          <w:rStyle w:val="Hyperlink0"/>
        </w:rPr>
        <w:t>lidlcyprus</w:t>
      </w:r>
      <w:proofErr w:type="spellEnd"/>
    </w:p>
    <w:p w14:paraId="037EA869" w14:textId="77777777" w:rsidR="00E91A7E" w:rsidRDefault="00ED45A2">
      <w:pPr>
        <w:spacing w:after="0"/>
        <w:jc w:val="both"/>
        <w:rPr>
          <w:rStyle w:val="Hyperlink0"/>
        </w:rPr>
      </w:pPr>
      <w:hyperlink r:id="rId11" w:history="1">
        <w:r>
          <w:rPr>
            <w:rStyle w:val="Hyperlink0"/>
          </w:rPr>
          <w:t>linkedin.com/company/</w:t>
        </w:r>
        <w:proofErr w:type="spellStart"/>
        <w:r>
          <w:rPr>
            <w:rStyle w:val="Hyperlink0"/>
          </w:rPr>
          <w:t>lidl-cyprus</w:t>
        </w:r>
        <w:proofErr w:type="spellEnd"/>
      </w:hyperlink>
    </w:p>
    <w:p w14:paraId="2D0F64E4" w14:textId="77777777" w:rsidR="00E91A7E" w:rsidRDefault="00ED45A2">
      <w:pPr>
        <w:spacing w:after="0"/>
        <w:jc w:val="both"/>
      </w:pPr>
      <w:r>
        <w:rPr>
          <w:rStyle w:val="Hyperlink0"/>
        </w:rPr>
        <w:t xml:space="preserve"> </w:t>
      </w:r>
    </w:p>
    <w:sectPr w:rsidR="00E91A7E">
      <w:headerReference w:type="default" r:id="rId12"/>
      <w:footerReference w:type="default" r:id="rId13"/>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E4029" w14:textId="77777777" w:rsidR="00ED45A2" w:rsidRDefault="00ED45A2">
      <w:pPr>
        <w:spacing w:after="0" w:line="240" w:lineRule="auto"/>
      </w:pPr>
      <w:r>
        <w:separator/>
      </w:r>
    </w:p>
  </w:endnote>
  <w:endnote w:type="continuationSeparator" w:id="0">
    <w:p w14:paraId="5E41BDF6" w14:textId="77777777" w:rsidR="00ED45A2" w:rsidRDefault="00ED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200247B" w:usb2="00000009" w:usb3="00000000" w:csb0="000001FF" w:csb1="00000000"/>
  </w:font>
  <w:font w:name="MinionPro-Regular">
    <w:altName w:val="Calibri"/>
    <w:charset w:val="00"/>
    <w:family w:val="roman"/>
    <w:pitch w:val="default"/>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9103" w14:textId="77777777" w:rsidR="00E91A7E" w:rsidRDefault="00E91A7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7730C" w14:textId="77777777" w:rsidR="00ED45A2" w:rsidRDefault="00ED45A2">
      <w:pPr>
        <w:spacing w:after="0" w:line="240" w:lineRule="auto"/>
      </w:pPr>
      <w:r>
        <w:separator/>
      </w:r>
    </w:p>
  </w:footnote>
  <w:footnote w:type="continuationSeparator" w:id="0">
    <w:p w14:paraId="55639E42" w14:textId="77777777" w:rsidR="00ED45A2" w:rsidRDefault="00ED4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5C83" w14:textId="77777777" w:rsidR="00E91A7E" w:rsidRDefault="00ED45A2">
    <w:pPr>
      <w:pStyle w:val="a3"/>
      <w:jc w:val="right"/>
    </w:pPr>
    <w:r>
      <w:rPr>
        <w:noProof/>
      </w:rPr>
      <mc:AlternateContent>
        <mc:Choice Requires="wps">
          <w:drawing>
            <wp:anchor distT="152400" distB="152400" distL="152400" distR="152400" simplePos="0" relativeHeight="251658240" behindDoc="1" locked="0" layoutInCell="1" allowOverlap="1" wp14:anchorId="79750BC6" wp14:editId="1A519987">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31E0F078" w14:textId="77777777" w:rsidR="00E91A7E" w:rsidRDefault="00ED45A2">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477B876A" wp14:editId="6906D043">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520EF844" w14:textId="77777777" w:rsidR="00E91A7E" w:rsidRDefault="00ED45A2">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23572252" w14:textId="77777777" w:rsidR="00E91A7E" w:rsidRPr="00ED45A2" w:rsidRDefault="00ED45A2">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Larnaca</w:t>
                          </w:r>
                          <w:proofErr w:type="spellEnd"/>
                          <w:r>
                            <w:rPr>
                              <w:rFonts w:ascii="Lidl Font Pro" w:eastAsia="Lidl Font Pro" w:hAnsi="Lidl Font Pro" w:cs="Lidl Font Pro"/>
                              <w:lang w:val="en-US"/>
                            </w:rPr>
                            <w:br/>
                          </w:r>
                          <w:r>
                            <w:rPr>
                              <w:rFonts w:ascii="Lidl Font Pro" w:eastAsia="Lidl Font Pro" w:hAnsi="Lidl Font Pro" w:cs="Lidl Font Pro"/>
                              <w:lang w:val="en-US"/>
                            </w:rPr>
                            <w:t xml:space="preserve">+357 24201100 · </w:t>
                          </w:r>
                          <w:r>
                            <w:rPr>
                              <w:rFonts w:ascii="Lidl Font Pro" w:eastAsia="Lidl Font Pro" w:hAnsi="Lidl Font Pro" w:cs="Lidl Font Pro"/>
                              <w:lang w:val="en-US"/>
                            </w:rPr>
                            <w:t>press@lidl.com.cy</w:t>
                          </w:r>
                        </w:p>
                      </w:txbxContent>
                    </wps:txbx>
                    <wps:bodyPr wrap="square" lIns="0" tIns="0" rIns="0" bIns="0" numCol="1" anchor="b">
                      <a:noAutofit/>
                    </wps:bodyPr>
                  </wps:wsp>
                </a:graphicData>
              </a:graphic>
            </wp:anchor>
          </w:drawing>
        </mc:Choice>
        <mc:Fallback>
          <w:pict>
            <v:shapetype w14:anchorId="477B876A" id="_x0000_t202" coordsize="21600,21600" o:spt="202" path="m,l,21600r21600,l21600,xe">
              <v:stroke joinstyle="miter"/>
              <v:path gradientshapeok="t" o:connecttype="rect"/>
            </v:shapetype>
            <v:shape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520EF844" w14:textId="77777777" w:rsidR="00E91A7E" w:rsidRDefault="00ED45A2">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23572252" w14:textId="77777777" w:rsidR="00E91A7E" w:rsidRPr="00ED45A2" w:rsidRDefault="00ED45A2">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Larnaca</w:t>
                    </w:r>
                    <w:proofErr w:type="spellEnd"/>
                    <w:r>
                      <w:rPr>
                        <w:rFonts w:ascii="Lidl Font Pro" w:eastAsia="Lidl Font Pro" w:hAnsi="Lidl Font Pro" w:cs="Lidl Font Pro"/>
                        <w:lang w:val="en-US"/>
                      </w:rPr>
                      <w:br/>
                    </w:r>
                    <w:r>
                      <w:rPr>
                        <w:rFonts w:ascii="Lidl Font Pro" w:eastAsia="Lidl Font Pro" w:hAnsi="Lidl Font Pro" w:cs="Lidl Font Pro"/>
                        <w:lang w:val="en-US"/>
                      </w:rPr>
                      <w:t xml:space="preserve">+357 24201100 · </w:t>
                    </w:r>
                    <w:r>
                      <w:rPr>
                        <w:rFonts w:ascii="Lidl Font Pro" w:eastAsia="Lidl Font Pro" w:hAnsi="Lidl Font Pro" w:cs="Lidl Font Pro"/>
                        <w:lang w:val="en-US"/>
                      </w:rPr>
                      <w:t>press@lidl.com.cy</w:t>
                    </w:r>
                  </w:p>
                </w:txbxContent>
              </v:textbox>
              <w10:wrap anchorx="page" anchory="page"/>
            </v:shape>
          </w:pict>
        </mc:Fallback>
      </mc:AlternateContent>
    </w:r>
    <w:r>
      <w:t xml:space="preserve">                                                                                                                                </w:t>
    </w:r>
    <w:r>
      <w:rPr>
        <w:noProof/>
      </w:rPr>
      <w:drawing>
        <wp:inline distT="0" distB="0" distL="0" distR="0" wp14:anchorId="4570839D" wp14:editId="0875FFBF">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A7E"/>
    <w:rsid w:val="00E0134A"/>
    <w:rsid w:val="00E91A7E"/>
    <w:rsid w:val="00ED45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AE913"/>
  <w15:docId w15:val="{1F32419B-DA9F-40DF-AC8D-3DBF5ADE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character" w:styleId="a5">
    <w:name w:val="Unresolved Mention"/>
    <w:basedOn w:val="a0"/>
    <w:uiPriority w:val="99"/>
    <w:semiHidden/>
    <w:unhideWhenUsed/>
    <w:rsid w:val="00ED4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87612">
      <w:bodyDiv w:val="1"/>
      <w:marLeft w:val="0"/>
      <w:marRight w:val="0"/>
      <w:marTop w:val="0"/>
      <w:marBottom w:val="0"/>
      <w:divBdr>
        <w:top w:val="none" w:sz="0" w:space="0" w:color="auto"/>
        <w:left w:val="none" w:sz="0" w:space="0" w:color="auto"/>
        <w:bottom w:val="none" w:sz="0" w:space="0" w:color="auto"/>
        <w:right w:val="none" w:sz="0" w:space="0" w:color="auto"/>
      </w:divBdr>
      <w:divsChild>
        <w:div w:id="2092122372">
          <w:marLeft w:val="0"/>
          <w:marRight w:val="0"/>
          <w:marTop w:val="0"/>
          <w:marBottom w:val="0"/>
          <w:divBdr>
            <w:top w:val="none" w:sz="0" w:space="0" w:color="auto"/>
            <w:left w:val="none" w:sz="0" w:space="0" w:color="auto"/>
            <w:bottom w:val="none" w:sz="0" w:space="0" w:color="auto"/>
            <w:right w:val="none" w:sz="0" w:space="0" w:color="auto"/>
          </w:divBdr>
        </w:div>
      </w:divsChild>
    </w:div>
    <w:div w:id="1732313204">
      <w:bodyDiv w:val="1"/>
      <w:marLeft w:val="0"/>
      <w:marRight w:val="0"/>
      <w:marTop w:val="0"/>
      <w:marBottom w:val="0"/>
      <w:divBdr>
        <w:top w:val="none" w:sz="0" w:space="0" w:color="auto"/>
        <w:left w:val="none" w:sz="0" w:space="0" w:color="auto"/>
        <w:bottom w:val="none" w:sz="0" w:space="0" w:color="auto"/>
        <w:right w:val="none" w:sz="0" w:space="0" w:color="auto"/>
      </w:divBdr>
      <w:divsChild>
        <w:div w:id="5564310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pETwHJZ0Pa4" TargetMode="External"/><Relationship Id="rId11" Type="http://schemas.openxmlformats.org/officeDocument/2006/relationships/hyperlink" Target="https://www.linkedin.com/company/lidl-cypru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2885</Characters>
  <Application>Microsoft Office Word</Application>
  <DocSecurity>4</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Evangelia Ktisti (ΕΥΑΓΓΕΛΙΑ ΚΤΙΣΤΗ)</dc:creator>
  <cp:lastModifiedBy>Evangelia Ktisti (ΕΥΑΓΓΕΛΙΑ ΚΤΙΣΤΗ)</cp:lastModifiedBy>
  <cp:revision>2</cp:revision>
  <dcterms:created xsi:type="dcterms:W3CDTF">2026-01-19T08:28:00Z</dcterms:created>
  <dcterms:modified xsi:type="dcterms:W3CDTF">2026-01-19T08:28:00Z</dcterms:modified>
</cp:coreProperties>
</file>